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01AC8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 и народной художественной культуры</w:t>
      </w: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A2FB2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601AC8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A2FB2" w:rsidRPr="00601AC8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Декоративная живопись</w:t>
      </w:r>
    </w:p>
    <w:p w:rsidR="008A2FB2" w:rsidRPr="00601AC8" w:rsidRDefault="008A2FB2" w:rsidP="00601AC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8A2FB2" w:rsidRPr="00857443" w:rsidTr="000400E0">
        <w:trPr>
          <w:trHeight w:val="409"/>
        </w:trPr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8A2FB2" w:rsidRPr="00857443" w:rsidTr="000400E0">
        <w:trPr>
          <w:trHeight w:val="367"/>
        </w:trPr>
        <w:tc>
          <w:tcPr>
            <w:tcW w:w="3686" w:type="dxa"/>
          </w:tcPr>
          <w:p w:rsidR="008A2FB2" w:rsidRPr="00601AC8" w:rsidRDefault="008A2FB2" w:rsidP="000400E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2FB2" w:rsidRPr="000400E0" w:rsidRDefault="008A2FB2" w:rsidP="00601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A2FB2" w:rsidRPr="00857443" w:rsidTr="000400E0"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601AC8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C1CCF" w:rsidRDefault="004C1CCF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Pr="00601AC8" w:rsidRDefault="008A2FB2" w:rsidP="00F655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«Декоративная живопись»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51.03.02 </w:t>
      </w:r>
      <w:r w:rsidRPr="00601AC8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601AC8" w:rsidRDefault="008A2FB2" w:rsidP="00201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Дисциплина относится к части</w:t>
      </w:r>
      <w:r>
        <w:rPr>
          <w:rFonts w:ascii="Times New Roman" w:hAnsi="Times New Roman"/>
          <w:sz w:val="24"/>
          <w:szCs w:val="24"/>
          <w:lang w:eastAsia="ru-RU"/>
        </w:rPr>
        <w:t>, формируемой участниками образовательных отношений Блока 1. Дисциплины (модули) учебного плана.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D861CF" w:rsidRDefault="008A2FB2" w:rsidP="00D861C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861C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A2FB2" w:rsidRPr="00D861CF" w:rsidRDefault="008A2FB2" w:rsidP="00D861C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F90B7D" w:rsidRDefault="008A2FB2" w:rsidP="00F90B7D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F90B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A2FB2" w:rsidRPr="00F90B7D" w:rsidRDefault="008A2FB2" w:rsidP="00F90B7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A2FB2" w:rsidRPr="00857443" w:rsidTr="001B64E8">
        <w:tc>
          <w:tcPr>
            <w:tcW w:w="252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A2FB2" w:rsidRPr="00857443" w:rsidTr="001B64E8">
        <w:trPr>
          <w:trHeight w:val="2685"/>
        </w:trPr>
        <w:tc>
          <w:tcPr>
            <w:tcW w:w="2523" w:type="dxa"/>
          </w:tcPr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F90B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2FB2" w:rsidRPr="00857443" w:rsidRDefault="008A2FB2" w:rsidP="00B348A5">
            <w:pPr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73" w:type="dxa"/>
          </w:tcPr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A2FB2" w:rsidRPr="00A32996" w:rsidRDefault="008A2FB2" w:rsidP="00A3299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A2FB2" w:rsidRPr="00A32996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использования и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декоративной живописи в русле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национальных этнокультурных и этнохудожественных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традиций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основе использования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традиционных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живописных навыков. </w:t>
            </w:r>
          </w:p>
          <w:p w:rsidR="008A2FB2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организовать самостоятельную работу по утвержденнымпроектам.</w:t>
            </w:r>
          </w:p>
          <w:p w:rsidR="008A2FB2" w:rsidRPr="00A32996" w:rsidRDefault="008A2FB2" w:rsidP="00014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340B5B" w:rsidRDefault="008A2FB2" w:rsidP="00A32996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и </w:t>
            </w: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методикой преподавания в области декоративной живописи.</w:t>
            </w:r>
          </w:p>
        </w:tc>
      </w:tr>
    </w:tbl>
    <w:p w:rsidR="008A2FB2" w:rsidRPr="00601AC8" w:rsidRDefault="008A2FB2" w:rsidP="00F90B7D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7F3F4F" w:rsidRDefault="008A2FB2" w:rsidP="007F3F4F">
      <w:pPr>
        <w:pStyle w:val="a5"/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F3F4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A2FB2" w:rsidRDefault="008A2FB2" w:rsidP="00F655D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17F9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8A2FB2" w:rsidRPr="00F90B7D" w:rsidRDefault="008A2FB2" w:rsidP="00F90B7D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0B7D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A2FB2" w:rsidRPr="00F90B7D" w:rsidRDefault="008A2FB2" w:rsidP="00F90B7D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394" w:type="dxa"/>
          </w:tcPr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материалов в сфере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народной художественной культуры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НХК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 и коллористика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Художественная обработка материалов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Основы проектирования в сфере НХК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8A2FB2" w:rsidRPr="00F90B7D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Традиционный костюм народов России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иконописи</w:t>
            </w:r>
          </w:p>
        </w:tc>
      </w:tr>
    </w:tbl>
    <w:p w:rsidR="008A2FB2" w:rsidRPr="00F90B7D" w:rsidRDefault="008A2FB2" w:rsidP="00F90B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A2FB2" w:rsidRPr="00D861CF" w:rsidRDefault="008A2FB2" w:rsidP="00D861C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861C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861C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861C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A2FB2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B7D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A2FB2" w:rsidRPr="00601AC8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7F3F4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A2FB2" w:rsidRPr="00141BA7" w:rsidRDefault="008A2FB2" w:rsidP="00141BA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A2FB2" w:rsidRPr="00857443" w:rsidTr="00942FC6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41B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6/216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5, 6, 7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3, 3, 4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60*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F655D0">
              <w:rPr>
                <w:rFonts w:ascii="Times New Roman" w:hAnsi="Times New Roman"/>
                <w:sz w:val="24"/>
                <w:szCs w:val="24"/>
                <w:lang w:eastAsia="ru-RU"/>
              </w:rPr>
              <w:t>зачет, зачёт с оценкой</w:t>
            </w:r>
            <w:r w:rsidRPr="00141BA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A2FB2" w:rsidRPr="00141BA7" w:rsidRDefault="008A2FB2" w:rsidP="00F65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141BA7" w:rsidRDefault="008A2FB2" w:rsidP="00141B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D861CF" w:rsidRDefault="008A2FB2" w:rsidP="00D861C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</w:r>
      <w:r w:rsidRPr="00D861CF">
        <w:rPr>
          <w:b/>
        </w:rPr>
        <w:t>* -</w:t>
      </w:r>
      <w:r w:rsidRPr="00D861C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861C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861C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A2FB2" w:rsidRPr="0032044A" w:rsidRDefault="008A2FB2" w:rsidP="00D861CF">
      <w:pPr>
        <w:tabs>
          <w:tab w:val="left" w:pos="2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A2FB2" w:rsidRPr="0032044A" w:rsidRDefault="008A2FB2" w:rsidP="0032044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F655D0">
        <w:tc>
          <w:tcPr>
            <w:tcW w:w="720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F655D0" w:rsidRDefault="008A2FB2" w:rsidP="00F65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E4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2FB2" w:rsidRPr="00857443" w:rsidTr="00F655D0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AE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2.3. Сложная двухфигурнаяпостан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овка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2.4. Сложная двухфигурная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BAC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E40507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53F9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A2FB2" w:rsidRPr="00E53F91" w:rsidRDefault="008A2FB2" w:rsidP="00D47C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662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D47CC3">
        <w:tc>
          <w:tcPr>
            <w:tcW w:w="720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Merge w:val="restart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693" w:type="dxa"/>
            <w:vMerge/>
            <w:vAlign w:val="center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Несложная постановка живой </w:t>
            </w: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2.3. Сложная двухфигурная постановка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2.4. Сложная двухфигурная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4B6BAC" w:rsidRDefault="008A2FB2" w:rsidP="00E40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sz w:val="24"/>
          <w:szCs w:val="24"/>
          <w:lang w:eastAsia="ru-RU"/>
        </w:rPr>
        <w:t>4.2.1 Содержание практических занятий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843"/>
        <w:gridCol w:w="3090"/>
        <w:gridCol w:w="3714"/>
      </w:tblGrid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843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090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Вступительная беседа об основных принципах декоративной живописи.</w:t>
            </w:r>
          </w:p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Задача: передать основные колористические качества натюрморта в 4 цвета на тонированной бумаге.</w:t>
            </w:r>
          </w:p>
        </w:tc>
      </w:tr>
      <w:tr w:rsidR="008A2FB2" w:rsidRPr="00857443" w:rsidTr="00242616">
        <w:trPr>
          <w:trHeight w:val="99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keepNext/>
              <w:spacing w:after="6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 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</w:t>
            </w: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передачу колористические качества натюрморта с выразительностью фактур витража.</w:t>
            </w:r>
          </w:p>
        </w:tc>
      </w:tr>
      <w:tr w:rsidR="008A2FB2" w:rsidRPr="00857443" w:rsidTr="00242616">
        <w:trPr>
          <w:trHeight w:val="180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.Одетая модель.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2.1 Несложная постановка живой модели с элементами интерьера на цветном фоне в 4 цвета.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Передача приоритетного значения модели к элемента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м окружения в ограниченной цветовой гамме</w:t>
            </w:r>
          </w:p>
        </w:tc>
      </w:tr>
      <w:tr w:rsidR="008A2FB2" w:rsidRPr="00857443" w:rsidTr="00242616">
        <w:trPr>
          <w:trHeight w:val="641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творческой мастерской с целью выразительности элементов окружения модели в историческом костюме в различных цветовых гаммах.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Сложная двухфигурная постановка в интерьере на выразительность фактур. 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Изучение пластических связей двухфигурной постановки на цветном фоне с контрастной обводкой.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2.4. Сложная двухфигурная постановка в интерьере с зеркалом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двухфигурной постановки на цветном фоне 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отражением в зеркале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Декоративный пейзаж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3714" w:type="dxa"/>
          </w:tcPr>
          <w:p w:rsidR="008A2FB2" w:rsidRPr="00FE2A80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Задание выполняется в ограниченной цветовой гамме с возможностью использования одной или двух графических линий, контрас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тных по отношению друг к другу </w:t>
            </w: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 и городской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3714" w:type="dxa"/>
          </w:tcPr>
          <w:p w:rsidR="008A2FB2" w:rsidRPr="00A55B00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Выполняется серия эскизов городского пейзажа формата А4, объединённой единой темой и техникой выполнения, а также смысловой направленностью, например: «Городские мосты», «Арки города», «Крыши города», «Музейно-парковые зоны», где городская среда может быть обогащена растительными элементами и декоративным </w:t>
            </w: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разнообразием фактур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Задание выполняется в ограниченной цветовой гамме с возможностью использования одной или двух графических линий, контрастных по отношению друг к другу  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ландшафта. Возможно использование предшествующих этюдов, сделанных на пленэре, где рассматривается разнообразие архитектурных стилей. </w:t>
            </w: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Смекалов И.В. Декоративное начало в учебной живописи дизайнеров [Электронный ресурс]: учебно-методическое пособие/ Смекалов И.В., ШлеюкС.Г.— Электрон. текстовые данные.— Оренбург: Оренбургский государственный университет, ЭБС АСВ, 2014.— 101 c.— Режим доступа: http://www.iprbookshop.ru/33626.—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Бесчастнов Н.П. Графика пейзажа [Электронный ресурс]: учебное пособие/ Бесчастнов Н.П.— Электрон. текстовые данные.— М.: Владос, 2012.— 301 c.— Режим доступа: http://www.iprbookshop.ru/14168.—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ШлеюкС.Г.— Электрон. 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СадохинА.П. История мировой культуры [Электронный ресурс]: учебное пособие для студентов высших учебных заведений/ СадохинА.П., Грушевицкая Т.Г.— Электрон. текстовые данные.— М.: ЮНИТИ-ДАНА, 2012.— 975 c.— Режим доступа: http://www.iprbookshop.ru/34438.—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Владос, 2014.— 95 c.— Режим доступа: http://www.iprbookshop.ru/18512.—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ШлеюкС.Г.— Электрон. текстовые данные.— Оренбург: Оренбургский государственный университет, ЭБС </w:t>
      </w:r>
      <w:r w:rsidRPr="00601AC8">
        <w:rPr>
          <w:rFonts w:ascii="Times New Roman" w:hAnsi="Times New Roman"/>
          <w:sz w:val="24"/>
          <w:szCs w:val="24"/>
          <w:lang w:eastAsia="ru-RU"/>
        </w:rPr>
        <w:lastRenderedPageBreak/>
        <w:t>АСВ, 2013.— 28 c.— Режим доступа: http://www.iprbookshop.ru/21573.—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Смекалов И.В. Копирование произведений классиков модернизма на занятиях живописью [Электронный ресурс]: методические указания/ Смекалов И.В., ШлеюкС.Г.— Электрон. текстовые данные.— Оренбург: Оренбургский государственный университет, ЭБС АСВ, 2013.— 35 c.— Режим доступа: http://www.iprbookshop.ru/21602.—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Смекалов И.В. Методика преподавания живописи в практике авангардистов Оренбурга и Бузулука [Электронный ресурс]: методические указания/ Смекалов И.В., ШлеюкС.Г.— Электрон. текстовые данные.— Оренбург: Оренбургский государственный университет, ЭБС АСВ, 2013.— 27 c.— Режим доступа: http://www.iprbookshop.ru/21606.—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ШлеюкС.Г.— Электрон. 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АлгазинаН.В. Цветоведение и колористика. Часть II. Гармония цвета [Электронный ресурс]: учебное пособие/ АлгазинаН.В.— Электрон. текстовые данные.— Омск: Омский государственный институт сервиса, 2015.— 188 c.— Режим доступа: http://www.iprbookshop.ru/32799.—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ШиковМ.Г. Рисунок. Основы композиции и техническая акварель [Электронный ресурс]: учебное пособие/ ШиковМ.Г., ДубовскаяЛ.Ю.— Электрон. текстовые данные.— Минск: Вышэйшая школа, 2014.— 168 c.— Режим доступа: http://www.iprbookshop.ru/35538.—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Искусство/ сост. Роберт Белтон. – М.: Арт-Родник,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История импрессионизма/ сост. Джон Ревалд. – М.: Республика,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601AC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r w:rsidRPr="00601AC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r w:rsidRPr="00601AC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Постимпрессионизм/ сост. Джон Ревалд. – М.: Республика, 2012.</w:t>
      </w:r>
    </w:p>
    <w:p w:rsidR="008A2FB2" w:rsidRDefault="008A2FB2" w:rsidP="00D861CF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8A2FB2" w:rsidRPr="00601AC8" w:rsidRDefault="008A2FB2" w:rsidP="00D861CF">
      <w:pPr>
        <w:widowControl w:val="0"/>
        <w:tabs>
          <w:tab w:val="left" w:pos="25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6224F2" w:rsidRDefault="008A2FB2" w:rsidP="009916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A2FB2" w:rsidRPr="00991617" w:rsidRDefault="008A2FB2" w:rsidP="008635E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Предусмотрены </w:t>
      </w:r>
      <w:r w:rsidRPr="00991617">
        <w:rPr>
          <w:rFonts w:ascii="Times New Roman" w:hAnsi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91617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91617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2155" w:type="dxa"/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2.1. Несложная постановка живой модели с элементами интерьера на цветном фоне в 4 цвета.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 Сложная двухфигурная 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постановка в интерьере на выразительность фактур.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2.4. Сложная двухфигурная постановка в интерьере с зеркалом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224F2" w:rsidRDefault="008A2FB2" w:rsidP="006224F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224F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601AC8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</w:t>
      </w:r>
      <w:r>
        <w:rPr>
          <w:rFonts w:ascii="Times New Roman" w:hAnsi="Times New Roman"/>
          <w:bCs/>
          <w:sz w:val="24"/>
          <w:szCs w:val="24"/>
          <w:lang w:eastAsia="ru-RU"/>
        </w:rPr>
        <w:t>тветствии с рабочей программой.</w:t>
      </w:r>
    </w:p>
    <w:p w:rsidR="008A2FB2" w:rsidRPr="00601AC8" w:rsidRDefault="008A2FB2" w:rsidP="00340B5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601AC8">
        <w:rPr>
          <w:rFonts w:ascii="Times New Roman" w:hAnsi="Times New Roman"/>
          <w:sz w:val="24"/>
          <w:szCs w:val="24"/>
          <w:lang w:eastAsia="ru-RU"/>
        </w:rPr>
        <w:t>. Декоративный натюрморт из предметов прикладного искусства.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проложить общую предварительную прокладку цветом и тоном;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основные колористические качества натюрморта в 4 цвета на тонированной бумаге.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 w:rsidRPr="00601AC8">
        <w:rPr>
          <w:rFonts w:ascii="Times New Roman" w:hAnsi="Times New Roman"/>
          <w:sz w:val="24"/>
          <w:szCs w:val="24"/>
          <w:lang w:eastAsia="ru-RU"/>
        </w:rPr>
        <w:t>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проложить общую предварительную прокладку цветом и тоном;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колористические качества натюрморта с выразительностью фактур витража.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601AC8">
        <w:rPr>
          <w:rFonts w:ascii="Times New Roman" w:hAnsi="Times New Roman"/>
          <w:sz w:val="24"/>
          <w:szCs w:val="24"/>
          <w:lang w:eastAsia="ru-RU"/>
        </w:rPr>
        <w:t>Несложная постановка живой модели с элементами интерьера на цветном фоне в 4 цвета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цвето-тоновую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цвето-тоновую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уточнение цвето-тоновых и колористических связей.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передать приоритетное значение модели к элемента</w:t>
      </w:r>
      <w:r w:rsidRPr="00601AC8">
        <w:rPr>
          <w:rFonts w:ascii="Times New Roman" w:hAnsi="Times New Roman"/>
          <w:sz w:val="24"/>
          <w:szCs w:val="24"/>
          <w:lang w:eastAsia="ru-RU"/>
        </w:rPr>
        <w:t>м окружения в ограниченной цветовой гамме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 w:rsidRPr="00601AC8">
        <w:rPr>
          <w:rFonts w:ascii="Times New Roman" w:hAnsi="Times New Roman"/>
          <w:sz w:val="24"/>
          <w:szCs w:val="24"/>
          <w:lang w:eastAsia="ru-RU"/>
        </w:rPr>
        <w:t>Постановка с сидящей моделью в интерьере творческой мастерской с элементами исторического костюма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цвето-тоновую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цвето-тоновую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уточнение цвето-тоновых и колористических связей.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ind w:right="4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Интерпретировать творческую мастерскую с целью выразительности элементов окружения модели в историческом костюме в различных цветовых гаммах.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Сложная двухфигурная постановка в интерьере на выразительность фактур.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цвето-тоновую моделировку фигур;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цвето-тоновую работу над фигурами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уточнение цвето-тоновых и колористических связей.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. 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Задача: изучение пластических связей двухфигурной постановки на цветном фоне с контрастной обводкой.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2.4. </w:t>
      </w:r>
      <w:r>
        <w:rPr>
          <w:rFonts w:ascii="Times New Roman" w:hAnsi="Times New Roman"/>
          <w:sz w:val="24"/>
          <w:szCs w:val="24"/>
          <w:lang w:eastAsia="ru-RU"/>
        </w:rPr>
        <w:t>Сложная двухфигурная постановка в интерьере с зеркалом.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520D3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цвето-тоновую моделировку фигур;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цвето-тоновую работу над фигурами и средой; </w:t>
      </w: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уточнение цвето-тоновых и колористических связей.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двухфигурной постановки на цветном фоне с </w:t>
      </w:r>
      <w:r>
        <w:rPr>
          <w:rFonts w:ascii="Times New Roman" w:hAnsi="Times New Roman"/>
          <w:sz w:val="24"/>
          <w:szCs w:val="24"/>
          <w:lang w:eastAsia="ru-RU"/>
        </w:rPr>
        <w:t>отражением в зеркале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20D3B">
        <w:rPr>
          <w:rFonts w:ascii="Times New Roman" w:hAnsi="Times New Roman"/>
          <w:b/>
          <w:sz w:val="24"/>
          <w:szCs w:val="24"/>
          <w:lang w:eastAsia="ru-RU"/>
        </w:rPr>
        <w:t>Тема 3.1.</w:t>
      </w:r>
      <w:r>
        <w:rPr>
          <w:rFonts w:ascii="Times New Roman" w:hAnsi="Times New Roman"/>
          <w:sz w:val="24"/>
          <w:szCs w:val="24"/>
          <w:lang w:eastAsia="ru-RU"/>
        </w:rPr>
        <w:t xml:space="preserve"> Декоративный пейзаж с цветной обводкой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пейзажа, подготовительный рисунок;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отработка авторской смешанной техники выполнения пейзажа с целью выявления </w:t>
      </w:r>
      <w:r w:rsidRPr="00520D3B">
        <w:rPr>
          <w:rFonts w:ascii="Times New Roman" w:hAnsi="Times New Roman"/>
          <w:sz w:val="24"/>
          <w:szCs w:val="24"/>
          <w:lang w:eastAsia="ru-RU" w:bidi="he-IL"/>
        </w:rPr>
        <w:lastRenderedPageBreak/>
        <w:t>характера имеющихся возможностей темперы, пастели, гуаши;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цветом и тоном главных компонентов пейзажа;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sz w:val="24"/>
          <w:szCs w:val="24"/>
          <w:lang w:eastAsia="ru-RU"/>
        </w:rPr>
        <w:t>Задача: создать творческую интерпретацию пейзажа памятника архитектуры, используя различные фактуры и техники.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3.2. </w:t>
      </w:r>
      <w:r>
        <w:rPr>
          <w:rFonts w:ascii="Times New Roman" w:hAnsi="Times New Roman"/>
          <w:sz w:val="24"/>
          <w:szCs w:val="24"/>
          <w:lang w:eastAsia="ru-RU"/>
        </w:rPr>
        <w:t>Серия декоративных пейзажей «Старый город»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562DA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>- создать эскиз</w:t>
      </w:r>
      <w:r>
        <w:rPr>
          <w:rFonts w:ascii="Times New Roman" w:hAnsi="Times New Roman"/>
          <w:sz w:val="24"/>
          <w:szCs w:val="24"/>
          <w:lang w:eastAsia="ru-RU" w:bidi="he-IL"/>
        </w:rPr>
        <w:t>ыпейзажей, подготовительные рисунки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отработка авторской смешанной техники выполнения </w:t>
      </w:r>
      <w:r>
        <w:rPr>
          <w:rFonts w:ascii="Times New Roman" w:hAnsi="Times New Roman"/>
          <w:sz w:val="24"/>
          <w:szCs w:val="24"/>
          <w:lang w:eastAsia="ru-RU" w:bidi="he-IL"/>
        </w:rPr>
        <w:t>пейзажей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 с целью выявления характера имеющихся возможностей темперы, пастели, гуаши;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пейзаж</w:t>
      </w:r>
      <w:r>
        <w:rPr>
          <w:rFonts w:ascii="Times New Roman" w:hAnsi="Times New Roman"/>
          <w:sz w:val="24"/>
          <w:szCs w:val="24"/>
          <w:lang w:eastAsia="ru-RU" w:bidi="he-IL"/>
        </w:rPr>
        <w:t>ей</w:t>
      </w:r>
      <w:r w:rsidRPr="006562DA">
        <w:rPr>
          <w:rFonts w:ascii="Times New Roman" w:hAnsi="Times New Roman"/>
          <w:sz w:val="24"/>
          <w:szCs w:val="24"/>
          <w:lang w:eastAsia="ru-RU"/>
        </w:rPr>
        <w:t xml:space="preserve"> памятников </w:t>
      </w:r>
      <w:r>
        <w:rPr>
          <w:rFonts w:ascii="Times New Roman" w:hAnsi="Times New Roman"/>
          <w:sz w:val="24"/>
          <w:szCs w:val="24"/>
          <w:lang w:eastAsia="ru-RU"/>
        </w:rPr>
        <w:t>архитектуры старого города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BD6933" w:rsidRDefault="008A2FB2" w:rsidP="00BD69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/>
        </w:rPr>
        <w:t xml:space="preserve">Задача: создать творческую интерпретацию пейзажа памятников </w:t>
      </w:r>
      <w:r>
        <w:rPr>
          <w:rFonts w:ascii="Times New Roman" w:hAnsi="Times New Roman"/>
          <w:sz w:val="24"/>
          <w:szCs w:val="24"/>
          <w:lang w:eastAsia="ru-RU"/>
        </w:rPr>
        <w:t>старого города</w:t>
      </w:r>
      <w:r w:rsidRPr="006562DA">
        <w:rPr>
          <w:rFonts w:ascii="Times New Roman" w:hAnsi="Times New Roman"/>
          <w:sz w:val="24"/>
          <w:szCs w:val="24"/>
          <w:lang w:eastAsia="ru-RU"/>
        </w:rPr>
        <w:t>, используя различные фактуры и техники.</w:t>
      </w:r>
    </w:p>
    <w:p w:rsidR="008A2FB2" w:rsidRPr="00242616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5C2D18" w:rsidRDefault="008A2FB2" w:rsidP="005C2D1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C2D1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A2FB2" w:rsidRPr="005C2D18" w:rsidRDefault="008A2FB2" w:rsidP="005C2D1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5C2D18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Смекалов И.В. Декоративное начало в учебной живописи дизайнеров [Электронный ресурс]: учебно-методическое пособие/ Смекалов И.В., ШлеюкС.Г.— Электрон. текстовые данные.— Оренбург: Оренбургский государственный университет, ЭБС АСВ, 2014.— 101 c.— Режим доступа: http://www.iprbookshop.ru/33626.—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Бесчастнов Н.П. Графика пейзажа [Электронный ресурс]: учебное пособие/ Бесчастнов Н.П.— Электрон. текстовые данные.— М.: Владос, 2012.— 301 c.— Режим доступа: http://www.iprbookshop.ru/14168.—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Владос, 2014.— 95 c.— Режим доступа: http://www.iprbookshop.ru/18512.—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lastRenderedPageBreak/>
        <w:t>Смекалов И.В. Декоративные возможности акварельной живописи [Электронный ресурс]: методические указания/ Смекалов И.В., ШлеюкС.Г.— Электрон. текстовые данные.— Оренбург: Оренбургский государственный университет, ЭБС АСВ, 2013.— 28 c.— Режим доступа: http://www.iprbookshop.ru/21573.— ЭБС«IPRbooks»,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АлгазинаН.В. Цветоведение и колористика. Часть II. Гармония цвета [Электронный ресурс]: учебное пособие/ АлгазинаН.В.— Электрон. текстовые данные.— Омск: Омский государственный институт сервиса, 2015.— 188 c.— Режим доступа: http://www.iprbookshop.ru/32799.— ЭБС «IPRbooks»,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ШиковМ.Г. Рисунок. Основы композиции и техническая акварель [Электронный ресурс]: учебное пособие/ ШиковМ.Г., ДубовскаяЛ.Ю.— Электрон. текстовые данные.— Минск: Вышэйшая школа, 2014.— 168 c.— Режим доступа: http://www.iprbookshop.ru/35538.— ЭБС «IPRbooks», по паролю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«IPRbooks»,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СадохинА.П. История мировой культуры [Электронный ресурс]: учебное пособие для студентов высших учебных заведений/ СадохинА.П., Грушевицкая Т.Г.— Электрон. текстовые данные.— М.: ЮНИТИ-ДАНА, 2012.— 975 c.— Режим доступа: http://www.iprbookshop.ru/34438.— ЭБС «IPRbooks»,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Смекалов И.В. Копирование произведений классиков модернизма на занятиях живописью [Электронный ресурс]: методические указания/ Смекалов И.В., ШлеюкС.Г.— Электрон. текстовые данные.— Оренбург: Оренбургский государственный университет, ЭБС АСВ, 2013.— 35 c.— Режим доступа: http://www.iprbookshop.ru/21602.— ЭБС «IPRbooks»,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Смекалов И.В. Методика преподавания живописи в практике авангардистов Оренбурга и Бузулука [Электронный ресурс]: методические указания/ Смекалов И.В., ШлеюкС.Г.— Электрон. текстовые данные.— Оренбург: Оренбургский государственный университет, ЭБС АСВ, 2013.— 27 c.— Режим доступа: http://www.iprbookshop.ru/21606.— ЭБС «IPRbooks»,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«IPRbooks»,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Смекалов И.В. Изучение классических произведений живописи дизайнерами [Электронный ресурс]: учебно-методическое пособие/ Смекалов И.В., ШлеюкС.Г.— Электрон. текстовые данные.— Оренбург: Оренбургский государственный университет, ЭБС АСВ, 2014.— 97 c.— Режим доступа: http://www.iprbookshop.ru/33629.— ЭБС «IPRbooks»,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lastRenderedPageBreak/>
        <w:t>Все о живописи: Как разбираться в искусстве, понимать художников и наслаждаться живописью. Сост. А. Стургис.75. - М.: Изд. "Былое", 2002. - 272с.:ил.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Гофман И. Голубая Роза. – М., 2000.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Герман М. Михаил Врубель: серия книг «Великие мастера живописи». – Санкт-Петербург: Аврора,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ДуханинК.П. Виды изобразительного искусства. Живопись, графика, скульптура, архитектура, декоративно-прикладное искусство. / К.П. Духанин. - Л.: Учпедгиз, 1959. - 273с.:ил.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Дягилев и его эпоха. – М.: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r w:rsidRPr="00791468">
        <w:rPr>
          <w:rFonts w:ascii="Times New Roman" w:hAnsi="Times New Roman"/>
          <w:sz w:val="24"/>
          <w:szCs w:val="24"/>
          <w:lang w:eastAsia="ru-RU"/>
        </w:rPr>
        <w:t>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Искусство/ сост. Роберт Белтон. – М.: Арт-Родник,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История импрессионизма/ сост. Джон Ревалд. – М.: Республика,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Коровин: серия книг «Великие мастера прошлого». – М.: Изобразительное искусство, 2010.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МышляеваО.Б.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СарабьяновД.В. Валентин Серов: серия книг «Великие мастера живописи». – Санкт-Петербург: Аврора, 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Шедевры русской живописи в музеях СССР. – Л.: Аврора,1989.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r w:rsidRPr="0079146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Постимпрессионизм/ сост. Джон Ревалд. – М.: Республика,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91468">
        <w:rPr>
          <w:rFonts w:ascii="Times New Roman" w:hAnsi="Times New Roman"/>
          <w:sz w:val="24"/>
          <w:szCs w:val="24"/>
          <w:lang w:val="en-US" w:eastAsia="ru-RU"/>
        </w:rPr>
        <w:t>Essential Pre-Raphaelites. Lucinda Hawksley, 2003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91468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79146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91468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«IPRbooks», по паролю</w:t>
      </w:r>
    </w:p>
    <w:p w:rsidR="008A2FB2" w:rsidRPr="00791468" w:rsidRDefault="008A2FB2" w:rsidP="00791468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9" w:history="1">
        <w:r w:rsidRPr="00791468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791468">
        <w:rPr>
          <w:rFonts w:ascii="Times New Roman" w:hAnsi="Times New Roman"/>
          <w:sz w:val="24"/>
          <w:szCs w:val="24"/>
        </w:rPr>
        <w:t>. -  ЭБС «IPRbooks», по паролю ЭБС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791468">
        <w:rPr>
          <w:rFonts w:ascii="Times New Roman" w:hAnsi="Times New Roman"/>
          <w:sz w:val="24"/>
          <w:szCs w:val="24"/>
        </w:rPr>
        <w:t xml:space="preserve">4.Культурология. Дайжест. Серия Теория и история культуры. Год основания 1997. – Режим доступа: </w:t>
      </w:r>
      <w:hyperlink r:id="rId10" w:history="1">
        <w:r w:rsidRPr="00791468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A2FB2" w:rsidRPr="00791468" w:rsidRDefault="008A2FB2" w:rsidP="00791468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5.Журнал "Традиционное прикладное искусство и образование"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A2FB2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49568D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A2FB2" w:rsidRPr="003631B2" w:rsidRDefault="0049568D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www.musee-orsay.fr  - Музей Д’Орсе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mv.vatican.va   - Ватиканский музей, Рим</w:t>
      </w:r>
    </w:p>
    <w:p w:rsidR="008A2FB2" w:rsidRPr="003631B2" w:rsidRDefault="0049568D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lastRenderedPageBreak/>
        <w:t>www.museodelprado.es   - Музей Прадо, Мадрид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3631B2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A2FB2" w:rsidRPr="003631B2" w:rsidRDefault="0049568D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4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A2FB2" w:rsidRPr="003631B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D47CC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  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631B2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 тоновых отношений (лессировки).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lastRenderedPageBreak/>
        <w:t>- участие в просмотре работ, обсуждении недостатков, индивидуальная беседа с преподавателем.</w:t>
      </w:r>
    </w:p>
    <w:p w:rsidR="008A2F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20" w:firstLine="56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D47CC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47CC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A2FB2" w:rsidRPr="003631B2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1.</w:t>
      </w:r>
      <w:r w:rsidRPr="003631B2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2.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r w:rsidRPr="005C2D1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3.</w:t>
      </w:r>
      <w:r w:rsidRPr="003631B2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4.</w:t>
      </w:r>
      <w:r w:rsidRPr="003631B2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3631B2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5.</w:t>
      </w:r>
      <w:r w:rsidRPr="003631B2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5C2D18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A2FB2" w:rsidRPr="005C2D18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A2F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3631B2">
        <w:rPr>
          <w:rFonts w:ascii="Times New Roman" w:hAnsi="Times New Roman"/>
          <w:sz w:val="24"/>
          <w:szCs w:val="24"/>
          <w:lang w:eastAsia="ru-RU"/>
        </w:rPr>
        <w:t>Декоративная живопись</w:t>
      </w: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A2FB2" w:rsidRPr="003631B2" w:rsidRDefault="008A2FB2" w:rsidP="003D782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</w:t>
      </w:r>
      <w:r>
        <w:rPr>
          <w:rFonts w:ascii="Times New Roman" w:hAnsi="Times New Roman"/>
          <w:sz w:val="24"/>
          <w:szCs w:val="24"/>
          <w:lang w:eastAsia="ru-RU"/>
        </w:rPr>
        <w:t>бакалавров</w:t>
      </w:r>
      <w:r w:rsidRPr="003631B2">
        <w:rPr>
          <w:rFonts w:ascii="Times New Roman" w:hAnsi="Times New Roman"/>
          <w:sz w:val="24"/>
          <w:szCs w:val="24"/>
          <w:lang w:eastAsia="ru-RU"/>
        </w:rPr>
        <w:t>;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3D7824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Pr="006224F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A2FB2" w:rsidRPr="00C95FC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95FC2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D47CC3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47CC3">
        <w:rPr>
          <w:rFonts w:ascii="Times New Roman" w:hAnsi="Times New Roman"/>
          <w:b/>
          <w:bCs/>
          <w:sz w:val="24"/>
          <w:szCs w:val="28"/>
          <w:lang w:eastAsia="ru-RU"/>
        </w:rPr>
        <w:t>«Декоративная живопись»</w:t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224F2" w:rsidRDefault="008A2FB2" w:rsidP="006224F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A2FB2" w:rsidRPr="006224F2" w:rsidRDefault="008A2FB2" w:rsidP="006224F2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A2FB2" w:rsidRPr="00857443" w:rsidTr="004D277A">
        <w:trPr>
          <w:trHeight w:val="726"/>
        </w:trPr>
        <w:tc>
          <w:tcPr>
            <w:tcW w:w="2093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8A2FB2" w:rsidRPr="00857443" w:rsidTr="004D277A">
        <w:trPr>
          <w:trHeight w:val="242"/>
        </w:trPr>
        <w:tc>
          <w:tcPr>
            <w:tcW w:w="2093" w:type="dxa"/>
            <w:vMerge w:val="restart"/>
          </w:tcPr>
          <w:p w:rsidR="008A2FB2" w:rsidRPr="00D47CC3" w:rsidRDefault="008A2FB2" w:rsidP="00863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8A2FB2" w:rsidRPr="00857443" w:rsidTr="00D74BF4">
        <w:trPr>
          <w:trHeight w:val="242"/>
        </w:trPr>
        <w:tc>
          <w:tcPr>
            <w:tcW w:w="2093" w:type="dxa"/>
            <w:vMerge/>
          </w:tcPr>
          <w:p w:rsidR="008A2FB2" w:rsidRPr="00D47CC3" w:rsidRDefault="008A2FB2" w:rsidP="00C95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8A2FB2" w:rsidRDefault="008A2FB2" w:rsidP="00E849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2FB2" w:rsidRPr="00C95FC2" w:rsidRDefault="008A2FB2" w:rsidP="00C95FC2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5FC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A2FB2" w:rsidRPr="00E84976" w:rsidRDefault="008A2FB2" w:rsidP="00E849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976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4976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85305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85305C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A2FB2" w:rsidRPr="00857443" w:rsidTr="004D277A">
        <w:tc>
          <w:tcPr>
            <w:tcW w:w="1628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</w:t>
            </w: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C34241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A2FB2" w:rsidRPr="00E84976" w:rsidRDefault="008A2FB2" w:rsidP="00C34241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34241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Значение теплохолодности при цветовой моделировки формы;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8A2FB2" w:rsidRPr="00C34241" w:rsidRDefault="008A2FB2" w:rsidP="00C3424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Сложно-композиционный натюрморт 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поэтапности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Одетая модель.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поэтапности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015BA">
        <w:rPr>
          <w:rFonts w:ascii="Times New Roman" w:hAnsi="Times New Roman"/>
          <w:sz w:val="24"/>
          <w:szCs w:val="24"/>
          <w:lang w:eastAsia="ru-RU"/>
        </w:rPr>
        <w:t>Декоративный пейзаж</w:t>
      </w:r>
      <w:r w:rsidRPr="00C34241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>Выполнение живописной работы при соблюдении поэтапности организации творческого процесса в живописном материале – акрил, гуашь, темпера, пастель с использованием различных фактур смешанной техники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8A2FB2" w:rsidRDefault="008A2FB2"/>
    <w:sectPr w:rsidR="008A2FB2" w:rsidSect="00601AC8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68D" w:rsidRDefault="0049568D">
      <w:pPr>
        <w:spacing w:after="0" w:line="240" w:lineRule="auto"/>
      </w:pPr>
      <w:r>
        <w:separator/>
      </w:r>
    </w:p>
  </w:endnote>
  <w:endnote w:type="continuationSeparator" w:id="0">
    <w:p w:rsidR="0049568D" w:rsidRDefault="00495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FB2" w:rsidRDefault="008A2FB2">
    <w:pPr>
      <w:pStyle w:val="a3"/>
      <w:jc w:val="center"/>
    </w:pPr>
  </w:p>
  <w:p w:rsidR="008A2FB2" w:rsidRDefault="008A2F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68D" w:rsidRDefault="0049568D">
      <w:pPr>
        <w:spacing w:after="0" w:line="240" w:lineRule="auto"/>
      </w:pPr>
      <w:r>
        <w:separator/>
      </w:r>
    </w:p>
  </w:footnote>
  <w:footnote w:type="continuationSeparator" w:id="0">
    <w:p w:rsidR="0049568D" w:rsidRDefault="00495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2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4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1"/>
  </w:num>
  <w:num w:numId="7">
    <w:abstractNumId w:val="24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19"/>
  </w:num>
  <w:num w:numId="13">
    <w:abstractNumId w:val="10"/>
  </w:num>
  <w:num w:numId="14">
    <w:abstractNumId w:val="22"/>
  </w:num>
  <w:num w:numId="15">
    <w:abstractNumId w:val="18"/>
  </w:num>
  <w:num w:numId="16">
    <w:abstractNumId w:val="25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6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9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4"/>
  </w:num>
  <w:num w:numId="27">
    <w:abstractNumId w:val="5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AC8"/>
    <w:rsid w:val="00014712"/>
    <w:rsid w:val="000306AA"/>
    <w:rsid w:val="000400E0"/>
    <w:rsid w:val="00090190"/>
    <w:rsid w:val="001014CF"/>
    <w:rsid w:val="00141BA7"/>
    <w:rsid w:val="00164619"/>
    <w:rsid w:val="00174577"/>
    <w:rsid w:val="00190832"/>
    <w:rsid w:val="001B3B80"/>
    <w:rsid w:val="001B64E8"/>
    <w:rsid w:val="00201801"/>
    <w:rsid w:val="00242616"/>
    <w:rsid w:val="002A230C"/>
    <w:rsid w:val="0032044A"/>
    <w:rsid w:val="003278FD"/>
    <w:rsid w:val="00340B5B"/>
    <w:rsid w:val="003631B2"/>
    <w:rsid w:val="003D7824"/>
    <w:rsid w:val="003E694B"/>
    <w:rsid w:val="004721FF"/>
    <w:rsid w:val="0049568D"/>
    <w:rsid w:val="004B6BAC"/>
    <w:rsid w:val="004C1CCF"/>
    <w:rsid w:val="004D277A"/>
    <w:rsid w:val="004F753A"/>
    <w:rsid w:val="00520D3B"/>
    <w:rsid w:val="005976D5"/>
    <w:rsid w:val="005A42FC"/>
    <w:rsid w:val="005A4763"/>
    <w:rsid w:val="005C2D18"/>
    <w:rsid w:val="005E4EEF"/>
    <w:rsid w:val="00601AC8"/>
    <w:rsid w:val="006224F2"/>
    <w:rsid w:val="006562DA"/>
    <w:rsid w:val="0076313B"/>
    <w:rsid w:val="00791468"/>
    <w:rsid w:val="007A7BFC"/>
    <w:rsid w:val="007F3F4F"/>
    <w:rsid w:val="00836494"/>
    <w:rsid w:val="0085305C"/>
    <w:rsid w:val="00857443"/>
    <w:rsid w:val="008635EB"/>
    <w:rsid w:val="00865B96"/>
    <w:rsid w:val="008840C0"/>
    <w:rsid w:val="00887301"/>
    <w:rsid w:val="008A2FB2"/>
    <w:rsid w:val="008E3729"/>
    <w:rsid w:val="00936FD1"/>
    <w:rsid w:val="00937D63"/>
    <w:rsid w:val="00942FC6"/>
    <w:rsid w:val="00945974"/>
    <w:rsid w:val="0096147A"/>
    <w:rsid w:val="009817F9"/>
    <w:rsid w:val="00991617"/>
    <w:rsid w:val="009931B6"/>
    <w:rsid w:val="009F21A5"/>
    <w:rsid w:val="00A013A6"/>
    <w:rsid w:val="00A32996"/>
    <w:rsid w:val="00A55B00"/>
    <w:rsid w:val="00A719BD"/>
    <w:rsid w:val="00AE5DE8"/>
    <w:rsid w:val="00B348A5"/>
    <w:rsid w:val="00B43940"/>
    <w:rsid w:val="00B666A3"/>
    <w:rsid w:val="00B90EF9"/>
    <w:rsid w:val="00BD6933"/>
    <w:rsid w:val="00BF7582"/>
    <w:rsid w:val="00C00434"/>
    <w:rsid w:val="00C34241"/>
    <w:rsid w:val="00C4508C"/>
    <w:rsid w:val="00C64AB2"/>
    <w:rsid w:val="00C95FC2"/>
    <w:rsid w:val="00CD0AB8"/>
    <w:rsid w:val="00D06F75"/>
    <w:rsid w:val="00D47CC3"/>
    <w:rsid w:val="00D51995"/>
    <w:rsid w:val="00D74BF4"/>
    <w:rsid w:val="00D84049"/>
    <w:rsid w:val="00D847DD"/>
    <w:rsid w:val="00D861CF"/>
    <w:rsid w:val="00D90737"/>
    <w:rsid w:val="00DB68DB"/>
    <w:rsid w:val="00DF5171"/>
    <w:rsid w:val="00E015BA"/>
    <w:rsid w:val="00E27E05"/>
    <w:rsid w:val="00E34553"/>
    <w:rsid w:val="00E40507"/>
    <w:rsid w:val="00E53F91"/>
    <w:rsid w:val="00E84976"/>
    <w:rsid w:val="00F22D9C"/>
    <w:rsid w:val="00F37E6A"/>
    <w:rsid w:val="00F400E0"/>
    <w:rsid w:val="00F655D0"/>
    <w:rsid w:val="00F90B7D"/>
    <w:rsid w:val="00FD2CDB"/>
    <w:rsid w:val="00FE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0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1A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601AC8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7F3F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22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23</Pages>
  <Words>6184</Words>
  <Characters>35251</Characters>
  <Application>Microsoft Office Word</Application>
  <DocSecurity>0</DocSecurity>
  <Lines>293</Lines>
  <Paragraphs>82</Paragraphs>
  <ScaleCrop>false</ScaleCrop>
  <Company/>
  <LinksUpToDate>false</LinksUpToDate>
  <CharactersWithSpaces>41353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23</cp:revision>
  <dcterms:created xsi:type="dcterms:W3CDTF">2019-09-26T09:42:00Z</dcterms:created>
  <dcterms:modified xsi:type="dcterms:W3CDTF">2022-09-09T11:41:00Z</dcterms:modified>
</cp:coreProperties>
</file>